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海鹿货运（Flexible Logistics）</w:t>
      </w:r>
    </w:p>
    <w:p>
      <w:pPr>
        <w:pStyle w:val="Heading1"/>
      </w:pPr>
      <w:r>
        <w:t xml:space="preserve">海运提单（B/L）填制说明与样本</w:t>
      </w:r>
    </w:p>
    <w:p>
      <w:pPr>
        <w:pStyle w:val="Normal"/>
      </w:pPr>
      <w:r>
        <w:t xml:space="preserve"/>
      </w:r>
    </w:p>
    <w:p>
      <w:pPr>
        <w:pStyle w:val="Heading2"/>
      </w:pPr>
      <w:r>
        <w:t xml:space="preserve">一、提单主要栏目说明</w:t>
      </w:r>
    </w:p>
    <w:p>
      <w:pPr>
        <w:pStyle w:val="Normal"/>
      </w:pPr>
      <w:r>
        <w:t xml:space="preserve">Shipper / Consignee / Notify Party：须与信用证或合同要求一致。</w:t>
      </w:r>
    </w:p>
    <w:p>
      <w:pPr>
        <w:pStyle w:val="Normal"/>
      </w:pPr>
      <w:r>
        <w:t xml:space="preserve">Vessel &amp; Voy.：船名航次以订舱确认单为准。</w:t>
      </w:r>
    </w:p>
    <w:p>
      <w:pPr>
        <w:pStyle w:val="Normal"/>
      </w:pPr>
      <w:r>
        <w:t xml:space="preserve">Place of Receipt / Port of Loading / Port of Discharge：注意与贸易条款匹配。</w:t>
      </w:r>
    </w:p>
    <w:p>
      <w:pPr>
        <w:pStyle w:val="Heading2"/>
      </w:pPr>
      <w:r>
        <w:t xml:space="preserve">二、常见问题</w:t>
      </w:r>
    </w:p>
    <w:p>
      <w:pPr>
        <w:pStyle w:val="Normal"/>
      </w:pPr>
      <w:r>
        <w:t xml:space="preserve">1. 电放（Telex Release）与正本（Original）的选择及风险说明。</w:t>
      </w:r>
    </w:p>
    <w:p>
      <w:pPr>
        <w:pStyle w:val="Normal"/>
      </w:pPr>
      <w:r>
        <w:t xml:space="preserve">2. 唛头（Marks &amp; Numbers）建议逐件标注。</w:t>
      </w:r>
    </w:p>
    <w:p>
      <w:pPr>
        <w:pStyle w:val="Normal"/>
      </w:pPr>
      <w:r>
        <w:t xml:space="preserve">3. 目的港费用与免箱免堆期请提前确认。</w:t>
      </w:r>
    </w:p>
    <w:p>
      <w:pPr>
        <w:pStyle w:val="Heading2"/>
      </w:pPr>
      <w:r>
        <w:t xml:space="preserve">三、样本栏位</w:t>
      </w:r>
    </w:p>
    <w:p>
      <w:pPr>
        <w:pStyle w:val="Normal"/>
      </w:pPr>
      <w:r>
        <w:t xml:space="preserve">（本部分提供提单样本模板，可按实际业务填写。）</w:t>
      </w:r>
    </w:p>
    <w:sectPr>
      <w:pgSz w:w="11906" w:h="16838"/>
      <w:pgMar w:top="1440" w:right="1440" w:bottom="1440" w:left="144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1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qFormat/>
    <w:pPr>
      <w:spacing w:after="240"/>
    </w:pPr>
    <w:rPr>
      <w:b/>
      <w:sz w:val="40"/>
      <w:color w:val="1E2470"/>
    </w:rPr>
  </w:style>
  <w:style w:type="paragraph" w:styleId="Heading1">
    <w:name w:val="heading 1"/>
    <w:basedOn w:val="Normal"/>
    <w:qFormat/>
    <w:pPr>
      <w:spacing w:before="240" w:after="120"/>
      <w:outlineLvl w:val="0"/>
    </w:pPr>
    <w:rPr>
      <w:b/>
      <w:sz w:val="32"/>
      <w:color w:val="1E2470"/>
    </w:rPr>
  </w:style>
  <w:style w:type="paragraph" w:styleId="Heading2">
    <w:name w:val="heading 2"/>
    <w:basedOn w:val="Normal"/>
    <w:qFormat/>
    <w:pPr>
      <w:spacing w:before="180" w:after="80"/>
      <w:outlineLvl w:val="1"/>
    </w:pPr>
    <w:rPr>
      <w:b/>
      <w:sz w:val="26"/>
      <w:color w:val="E21F2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